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>При расчете земельного налога за 2021 год в отношении земельных участков, находящихся в собственности, пожизненном наследуемом владении или постоянном (бессрочном) пользовании физических лиц, налоговые органы применяют следующие изменения.</w:t>
      </w:r>
    </w:p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>Так, если налогоплательщик, имеющий право на налоговую льготу, не направил в налоговый орган заявление о ее предоставлении или не сообщил об отказе от неё, то она предоставляется </w:t>
      </w:r>
      <w:proofErr w:type="spellStart"/>
      <w:r>
        <w:rPr>
          <w:rFonts w:ascii="Arial" w:hAnsi="Arial" w:cs="Arial"/>
          <w:color w:val="2C2B2B"/>
          <w:sz w:val="20"/>
          <w:szCs w:val="20"/>
        </w:rPr>
        <w:t>проактивно</w:t>
      </w:r>
      <w:proofErr w:type="spellEnd"/>
      <w:r>
        <w:rPr>
          <w:rFonts w:ascii="Arial" w:hAnsi="Arial" w:cs="Arial"/>
          <w:color w:val="2C2B2B"/>
          <w:sz w:val="20"/>
          <w:szCs w:val="20"/>
        </w:rPr>
        <w:t>. При этом ФНС России руководствуется сведениями, полученными в рамках межведомственного взаимодействия начиная с периода, в котором у гражданина возникло право на такую льготу.</w:t>
      </w:r>
    </w:p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 xml:space="preserve">Например, для применения вычета, уменьшающего налоговую базу на величину кадастровой стоимости 600 кв. м площади земельного участка, сведения о лицах, относящихся к льготным категориям, предоставляются в налоговые органы Пенсионным фондом РФ (о пенсионерах, </w:t>
      </w:r>
      <w:proofErr w:type="spellStart"/>
      <w:r>
        <w:rPr>
          <w:rFonts w:ascii="Arial" w:hAnsi="Arial" w:cs="Arial"/>
          <w:color w:val="2C2B2B"/>
          <w:sz w:val="20"/>
          <w:szCs w:val="20"/>
        </w:rPr>
        <w:t>предпенсионерах</w:t>
      </w:r>
      <w:proofErr w:type="spellEnd"/>
      <w:r>
        <w:rPr>
          <w:rFonts w:ascii="Arial" w:hAnsi="Arial" w:cs="Arial"/>
          <w:color w:val="2C2B2B"/>
          <w:sz w:val="20"/>
          <w:szCs w:val="20"/>
        </w:rPr>
        <w:t>, инвалидах, ветеранах боевых действий), а также органами соцзащиты (о лицах, имеющих трех и более несовершеннолетних детей).</w:t>
      </w:r>
    </w:p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>Органы, осуществляющие государственный земельный надзор, сообщают в налоговые органы сведения:</w:t>
      </w:r>
    </w:p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 xml:space="preserve">о выдаче предписания об устранении нарушений требований к использованию и охране объектов земельных отношений в связи с неиспользованием для сельхозпроизводства налогооблагаемого участка, отнесенного к землям </w:t>
      </w:r>
      <w:proofErr w:type="spellStart"/>
      <w:r>
        <w:rPr>
          <w:rFonts w:ascii="Arial" w:hAnsi="Arial" w:cs="Arial"/>
          <w:color w:val="2C2B2B"/>
          <w:sz w:val="20"/>
          <w:szCs w:val="20"/>
        </w:rPr>
        <w:t>сельхозназначения</w:t>
      </w:r>
      <w:proofErr w:type="spellEnd"/>
      <w:r>
        <w:rPr>
          <w:rFonts w:ascii="Arial" w:hAnsi="Arial" w:cs="Arial"/>
          <w:color w:val="2C2B2B"/>
          <w:sz w:val="20"/>
          <w:szCs w:val="20"/>
        </w:rPr>
        <w:t xml:space="preserve"> или к землям в составе зон </w:t>
      </w:r>
      <w:proofErr w:type="spellStart"/>
      <w:r>
        <w:rPr>
          <w:rFonts w:ascii="Arial" w:hAnsi="Arial" w:cs="Arial"/>
          <w:color w:val="2C2B2B"/>
          <w:sz w:val="20"/>
          <w:szCs w:val="20"/>
        </w:rPr>
        <w:t>сельхозиспользования</w:t>
      </w:r>
      <w:proofErr w:type="spellEnd"/>
      <w:r>
        <w:rPr>
          <w:rFonts w:ascii="Arial" w:hAnsi="Arial" w:cs="Arial"/>
          <w:color w:val="2C2B2B"/>
          <w:sz w:val="20"/>
          <w:szCs w:val="20"/>
        </w:rPr>
        <w:t xml:space="preserve"> (исключение – ограниченные в обороте земли);</w:t>
      </w:r>
    </w:p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>о выдаче такого предписания в связи с использованием не по целевому назначению;</w:t>
      </w:r>
    </w:p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>о фактах устранения вышеперечисленных нарушений либо об отмене предписания об их устранении.</w:t>
      </w:r>
    </w:p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>Полученная информация используется для расчета земельного налога по ставке не более 1,5% «для прочих земель» в отношении участков, на которых выявлены вышеуказанные нарушения.</w:t>
      </w:r>
    </w:p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>Для исчисления налога также применены изменения в системе налоговых ставок и льгот в соответствии с нормативными актами муниципальных образований (законами городов федерального значения) по месту нахождения земельных участков. С информацией о них можно ознакомиться в рубрике «Справочная информация о ставках и льготах по имущественным налогам» на сайте ФНС России.</w:t>
      </w:r>
    </w:p>
    <w:p w:rsidR="00BE15FB" w:rsidRDefault="00BE15FB" w:rsidP="00BE15FB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2C2B2B"/>
          <w:sz w:val="20"/>
          <w:szCs w:val="20"/>
        </w:rPr>
      </w:pPr>
      <w:r>
        <w:rPr>
          <w:rFonts w:ascii="Arial" w:hAnsi="Arial" w:cs="Arial"/>
          <w:color w:val="2C2B2B"/>
          <w:sz w:val="20"/>
          <w:szCs w:val="20"/>
        </w:rPr>
        <w:t>Перечисленные изменения будут отражены в налоговых уведомлениях, направляемых для уплаты земельного налога за 2021 год в течение сентября-октября. Оплатить их следует не позднее 1 декабря 2022 г.</w:t>
      </w:r>
    </w:p>
    <w:p w:rsidR="000D22B2" w:rsidRDefault="000D22B2">
      <w:bookmarkStart w:id="0" w:name="_GoBack"/>
      <w:bookmarkEnd w:id="0"/>
    </w:p>
    <w:sectPr w:rsidR="000D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FB"/>
    <w:rsid w:val="000D22B2"/>
    <w:rsid w:val="00BE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2022-10-17T06:54:00Z</dcterms:created>
  <dcterms:modified xsi:type="dcterms:W3CDTF">2022-10-17T06:54:00Z</dcterms:modified>
</cp:coreProperties>
</file>